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56477">
      <w:pPr>
        <w:pStyle w:val="2"/>
        <w:keepNext w:val="0"/>
        <w:keepLines w:val="0"/>
        <w:pageBreakBefore w:val="0"/>
        <w:widowControl w:val="0"/>
        <w:kinsoku/>
        <w:wordWrap/>
        <w:overflowPunct/>
        <w:topLinePunct w:val="0"/>
        <w:autoSpaceDE/>
        <w:autoSpaceDN/>
        <w:bidi w:val="0"/>
        <w:adjustRightInd w:val="0"/>
        <w:snapToGrid/>
        <w:spacing w:line="560" w:lineRule="exact"/>
        <w:textAlignment w:val="auto"/>
        <w:outlineLvl w:val="0"/>
        <w:rPr>
          <w:rFonts w:hint="eastAsia" w:ascii="仿宋" w:hAnsi="仿宋" w:eastAsia="仿宋" w:cs="仿宋"/>
          <w:b w:val="0"/>
          <w:bCs w:val="0"/>
          <w:sz w:val="32"/>
          <w:szCs w:val="32"/>
          <w:lang w:val="en-US" w:eastAsia="zh-CN"/>
        </w:rPr>
      </w:pPr>
      <w:bookmarkStart w:id="0" w:name="_Toc19532"/>
      <w:r>
        <w:rPr>
          <w:rFonts w:hint="eastAsia" w:ascii="仿宋" w:hAnsi="仿宋" w:eastAsia="仿宋" w:cs="仿宋"/>
          <w:b w:val="0"/>
          <w:bCs w:val="0"/>
          <w:sz w:val="32"/>
          <w:szCs w:val="32"/>
          <w:lang w:val="en-US" w:eastAsia="zh-CN"/>
        </w:rPr>
        <w:t>附件：</w:t>
      </w:r>
    </w:p>
    <w:p w14:paraId="553F7E31">
      <w:pPr>
        <w:pStyle w:val="2"/>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outlineLvl w:val="0"/>
        <w:rPr>
          <w:rFonts w:hint="eastAsia" w:ascii="方正小标宋_GBK" w:hAnsi="方正小标宋_GBK" w:eastAsia="方正小标宋_GBK" w:cs="方正小标宋_GBK"/>
          <w:b w:val="0"/>
          <w:bCs w:val="0"/>
          <w:sz w:val="44"/>
          <w:szCs w:val="44"/>
          <w:lang w:val="en-US" w:eastAsia="zh-CN"/>
        </w:rPr>
      </w:pPr>
      <w:bookmarkStart w:id="16" w:name="_GoBack"/>
      <w:r>
        <w:rPr>
          <w:rFonts w:hint="eastAsia" w:ascii="方正小标宋_GBK" w:hAnsi="方正小标宋_GBK" w:eastAsia="方正小标宋_GBK" w:cs="方正小标宋_GBK"/>
          <w:b w:val="0"/>
          <w:bCs w:val="0"/>
          <w:sz w:val="44"/>
          <w:szCs w:val="44"/>
          <w:lang w:val="en-US" w:eastAsia="zh-CN"/>
        </w:rPr>
        <w:t>毕节市图书馆官网升级改造及运维服务</w:t>
      </w:r>
    </w:p>
    <w:p w14:paraId="2CF6380E">
      <w:pPr>
        <w:pStyle w:val="2"/>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outlineLvl w:val="0"/>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采购内容及技术要求</w:t>
      </w:r>
      <w:bookmarkEnd w:id="0"/>
    </w:p>
    <w:bookmarkEnd w:id="16"/>
    <w:p w14:paraId="473CDF6E">
      <w:pPr>
        <w:pStyle w:val="4"/>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黑体" w:hAnsi="黑体" w:eastAsia="黑体" w:cs="黑体"/>
          <w:b w:val="0"/>
          <w:bCs/>
          <w:sz w:val="32"/>
          <w:szCs w:val="32"/>
          <w:lang w:val="en-US" w:eastAsia="zh-CN"/>
        </w:rPr>
      </w:pPr>
      <w:bookmarkStart w:id="1" w:name="_Toc18071"/>
      <w:r>
        <w:rPr>
          <w:rFonts w:hint="eastAsia" w:ascii="黑体" w:hAnsi="黑体" w:eastAsia="黑体" w:cs="黑体"/>
          <w:b w:val="0"/>
          <w:bCs/>
          <w:sz w:val="32"/>
          <w:szCs w:val="32"/>
          <w:lang w:val="en-US" w:eastAsia="zh-CN"/>
        </w:rPr>
        <w:t>一、升级改造内容</w:t>
      </w:r>
      <w:bookmarkEnd w:id="1"/>
    </w:p>
    <w:p w14:paraId="1F652F04">
      <w:pPr>
        <w:pStyle w:val="5"/>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3"/>
        <w:rPr>
          <w:rFonts w:hint="eastAsia" w:ascii="楷体" w:hAnsi="楷体" w:eastAsia="楷体" w:cs="楷体"/>
          <w:b w:val="0"/>
          <w:bCs/>
          <w:sz w:val="32"/>
          <w:szCs w:val="32"/>
          <w:lang w:val="en-US" w:eastAsia="zh-CN"/>
        </w:rPr>
      </w:pPr>
      <w:bookmarkStart w:id="2" w:name="_Toc29554"/>
      <w:r>
        <w:rPr>
          <w:rFonts w:hint="eastAsia" w:ascii="楷体" w:hAnsi="楷体" w:eastAsia="楷体" w:cs="楷体"/>
          <w:b w:val="0"/>
          <w:bCs/>
          <w:sz w:val="32"/>
          <w:szCs w:val="32"/>
          <w:lang w:val="en-US" w:eastAsia="zh-CN"/>
        </w:rPr>
        <w:t>（一）架构升级</w:t>
      </w:r>
      <w:bookmarkEnd w:id="2"/>
    </w:p>
    <w:p w14:paraId="52824F7F">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全面升级现有技术架构，迭代底层开发框架，优化代码结构，提升系统兼容性与可扩展性，支持后续功能快速迭代。</w:t>
      </w:r>
    </w:p>
    <w:p w14:paraId="7ADCE83B">
      <w:pPr>
        <w:pStyle w:val="5"/>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3"/>
        <w:rPr>
          <w:rFonts w:hint="eastAsia" w:ascii="楷体" w:hAnsi="楷体" w:eastAsia="楷体" w:cs="楷体"/>
          <w:b w:val="0"/>
          <w:bCs/>
          <w:sz w:val="32"/>
          <w:szCs w:val="32"/>
          <w:lang w:val="en-US" w:eastAsia="zh-CN"/>
        </w:rPr>
      </w:pPr>
      <w:bookmarkStart w:id="3" w:name="_Toc14791"/>
      <w:r>
        <w:rPr>
          <w:rFonts w:hint="eastAsia" w:ascii="楷体" w:hAnsi="楷体" w:eastAsia="楷体" w:cs="楷体"/>
          <w:b w:val="0"/>
          <w:bCs/>
          <w:sz w:val="32"/>
          <w:szCs w:val="32"/>
          <w:lang w:val="en-US" w:eastAsia="zh-CN"/>
        </w:rPr>
        <w:t>（二）视觉与品牌统一</w:t>
      </w:r>
      <w:bookmarkEnd w:id="3"/>
    </w:p>
    <w:p w14:paraId="5784E226">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更新界面设计风格（配色、字体、布局），规范品牌 Logo、标语等元素展示，优化图片与内容排版。</w:t>
      </w:r>
    </w:p>
    <w:p w14:paraId="52CFA5F6">
      <w:pPr>
        <w:pStyle w:val="5"/>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3"/>
        <w:rPr>
          <w:rFonts w:hint="eastAsia" w:ascii="楷体" w:hAnsi="楷体" w:eastAsia="楷体" w:cs="楷体"/>
          <w:b w:val="0"/>
          <w:bCs/>
          <w:sz w:val="32"/>
          <w:szCs w:val="32"/>
          <w:lang w:val="en-US" w:eastAsia="zh-CN"/>
        </w:rPr>
      </w:pPr>
      <w:bookmarkStart w:id="4" w:name="_Toc16198"/>
      <w:r>
        <w:rPr>
          <w:rFonts w:hint="eastAsia" w:ascii="楷体" w:hAnsi="楷体" w:eastAsia="楷体" w:cs="楷体"/>
          <w:b w:val="0"/>
          <w:bCs/>
          <w:sz w:val="32"/>
          <w:szCs w:val="32"/>
          <w:lang w:val="en-US" w:eastAsia="zh-CN"/>
        </w:rPr>
        <w:t>（三）数据迁移</w:t>
      </w:r>
      <w:bookmarkEnd w:id="4"/>
    </w:p>
    <w:p w14:paraId="0809AFA0">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完整迁移现有官网系统数据，实现数据完整平滑迁移，迁移完成后核对数据完整性、准确性，测试新系统数据调用是否正常。</w:t>
      </w:r>
    </w:p>
    <w:p w14:paraId="2533AB58">
      <w:pPr>
        <w:pStyle w:val="5"/>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3"/>
        <w:rPr>
          <w:rFonts w:hint="eastAsia" w:ascii="楷体" w:hAnsi="楷体" w:eastAsia="楷体" w:cs="楷体"/>
          <w:b w:val="0"/>
          <w:bCs/>
          <w:sz w:val="32"/>
          <w:szCs w:val="32"/>
          <w:lang w:val="en-US" w:eastAsia="zh-CN"/>
        </w:rPr>
      </w:pPr>
      <w:bookmarkStart w:id="5" w:name="_Toc10176"/>
      <w:r>
        <w:rPr>
          <w:rFonts w:hint="eastAsia" w:ascii="楷体" w:hAnsi="楷体" w:eastAsia="楷体" w:cs="楷体"/>
          <w:b w:val="0"/>
          <w:bCs/>
          <w:sz w:val="32"/>
          <w:szCs w:val="32"/>
          <w:lang w:val="en-US" w:eastAsia="zh-CN"/>
        </w:rPr>
        <w:t>（四）安全加固</w:t>
      </w:r>
      <w:bookmarkEnd w:id="5"/>
    </w:p>
    <w:p w14:paraId="44D4301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升级数据加密技术，完善用户权限管理，修复漏洞与防攻击防护，合规隐私政策与数据存储规范。</w:t>
      </w:r>
    </w:p>
    <w:p w14:paraId="64490BB6">
      <w:pPr>
        <w:pStyle w:val="5"/>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3"/>
        <w:rPr>
          <w:rFonts w:hint="eastAsia" w:ascii="楷体" w:hAnsi="楷体" w:eastAsia="楷体" w:cs="楷体"/>
          <w:b w:val="0"/>
          <w:bCs/>
          <w:sz w:val="32"/>
          <w:szCs w:val="32"/>
          <w:lang w:val="en-US" w:eastAsia="zh-CN"/>
        </w:rPr>
      </w:pPr>
      <w:bookmarkStart w:id="6" w:name="_Toc15393"/>
      <w:r>
        <w:rPr>
          <w:rFonts w:hint="eastAsia" w:ascii="楷体" w:hAnsi="楷体" w:eastAsia="楷体" w:cs="楷体"/>
          <w:b w:val="0"/>
          <w:bCs/>
          <w:sz w:val="32"/>
          <w:szCs w:val="32"/>
          <w:lang w:val="en-US" w:eastAsia="zh-CN"/>
        </w:rPr>
        <w:t>（五）交互体验升级</w:t>
      </w:r>
      <w:bookmarkEnd w:id="6"/>
    </w:p>
    <w:p w14:paraId="0634E02B">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提升页面加载速度，适配移动端等多设备，简化导航层级与操作流程，优化用户交互体验。</w:t>
      </w:r>
    </w:p>
    <w:p w14:paraId="6D8DDFB9">
      <w:pPr>
        <w:pStyle w:val="3"/>
        <w:pageBreakBefore w:val="0"/>
        <w:widowControl w:val="0"/>
        <w:numPr>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黑体" w:hAnsi="黑体" w:eastAsia="黑体" w:cs="黑体"/>
          <w:b w:val="0"/>
          <w:bCs/>
          <w:kern w:val="2"/>
          <w:sz w:val="32"/>
          <w:szCs w:val="32"/>
          <w:lang w:val="en-US" w:eastAsia="zh-CN" w:bidi="ar-SA"/>
        </w:rPr>
      </w:pPr>
      <w:bookmarkStart w:id="7" w:name="_Toc11143"/>
      <w:r>
        <w:rPr>
          <w:rFonts w:hint="eastAsia" w:ascii="黑体" w:hAnsi="黑体" w:eastAsia="黑体" w:cs="黑体"/>
          <w:b w:val="0"/>
          <w:bCs/>
          <w:kern w:val="2"/>
          <w:sz w:val="32"/>
          <w:szCs w:val="32"/>
          <w:lang w:val="en-US" w:eastAsia="zh-CN" w:bidi="ar-SA"/>
        </w:rPr>
        <w:t>二、安全运维服务</w:t>
      </w:r>
      <w:bookmarkEnd w:id="7"/>
    </w:p>
    <w:p w14:paraId="42E00290">
      <w:pPr>
        <w:pStyle w:val="4"/>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3"/>
        <w:rPr>
          <w:rFonts w:hint="eastAsia" w:ascii="楷体" w:hAnsi="楷体" w:eastAsia="楷体" w:cs="楷体"/>
          <w:b w:val="0"/>
          <w:bCs/>
          <w:kern w:val="2"/>
          <w:sz w:val="32"/>
          <w:szCs w:val="32"/>
          <w:lang w:val="en-US" w:eastAsia="zh-CN" w:bidi="ar-SA"/>
        </w:rPr>
      </w:pPr>
      <w:bookmarkStart w:id="8" w:name="_Toc21990"/>
      <w:r>
        <w:rPr>
          <w:rFonts w:hint="eastAsia" w:ascii="楷体" w:hAnsi="楷体" w:eastAsia="楷体" w:cs="楷体"/>
          <w:b w:val="0"/>
          <w:bCs/>
          <w:kern w:val="2"/>
          <w:sz w:val="32"/>
          <w:szCs w:val="32"/>
          <w:lang w:val="en-US" w:eastAsia="zh-CN" w:bidi="ar-SA"/>
        </w:rPr>
        <w:t>（一）服务要求</w:t>
      </w:r>
      <w:bookmarkEnd w:id="8"/>
    </w:p>
    <w:p w14:paraId="7CC10C6D">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按照《省人民政府办公厅关于引发贵州省开展第一次全省政府网站普查工作实施方案的通知》（黔府办函（2015）32号）文件要求保障我单位门户网站安全，并能提供相关纸质文档备查。</w:t>
      </w:r>
    </w:p>
    <w:tbl>
      <w:tblPr>
        <w:tblStyle w:val="7"/>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240"/>
        <w:gridCol w:w="1854"/>
        <w:gridCol w:w="4959"/>
      </w:tblGrid>
      <w:tr w14:paraId="32F8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531" w:type="dxa"/>
            <w:vMerge w:val="restart"/>
            <w:vAlign w:val="center"/>
          </w:tcPr>
          <w:p w14:paraId="0E8420FD">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6FC27E35">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2DD6CF9A">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6B01B42A">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网站安全</w:t>
            </w:r>
          </w:p>
        </w:tc>
        <w:tc>
          <w:tcPr>
            <w:tcW w:w="1240" w:type="dxa"/>
            <w:vMerge w:val="restart"/>
            <w:vAlign w:val="center"/>
          </w:tcPr>
          <w:p w14:paraId="050F862D">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1.安全管理责任制落实情况</w:t>
            </w:r>
          </w:p>
        </w:tc>
        <w:tc>
          <w:tcPr>
            <w:tcW w:w="1854" w:type="dxa"/>
            <w:vAlign w:val="center"/>
          </w:tcPr>
          <w:p w14:paraId="3BEE9635">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1.1信息安全组织机构和安全管理规章制度</w:t>
            </w:r>
          </w:p>
        </w:tc>
        <w:tc>
          <w:tcPr>
            <w:tcW w:w="4959" w:type="dxa"/>
          </w:tcPr>
          <w:p w14:paraId="64A6120B">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要求：提供信息安全管理机构和信息安全规章制度及相关记录的纸制文档。</w:t>
            </w:r>
          </w:p>
          <w:p w14:paraId="5D953D96">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说明：建立信息安全组织机构；指定安全管理规章制度；各项管理规章制度及责任制是否落实</w:t>
            </w:r>
          </w:p>
        </w:tc>
      </w:tr>
      <w:tr w14:paraId="493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531" w:type="dxa"/>
            <w:vMerge w:val="continue"/>
          </w:tcPr>
          <w:p w14:paraId="1588E67B">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240" w:type="dxa"/>
            <w:vMerge w:val="continue"/>
            <w:vAlign w:val="center"/>
          </w:tcPr>
          <w:p w14:paraId="2A16AEA4">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854" w:type="dxa"/>
            <w:vAlign w:val="center"/>
          </w:tcPr>
          <w:p w14:paraId="73CEF09F">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1.2网站安全突发事件应急预案并演练</w:t>
            </w:r>
          </w:p>
        </w:tc>
        <w:tc>
          <w:tcPr>
            <w:tcW w:w="4959" w:type="dxa"/>
          </w:tcPr>
          <w:p w14:paraId="2A51C039">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要求：提供网站安全突发事件应急预案和应急演练记录的纸制文档。</w:t>
            </w:r>
          </w:p>
          <w:p w14:paraId="0820C4F0">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说明：制定网站安全突发事件应急预案；组织演练。</w:t>
            </w:r>
          </w:p>
        </w:tc>
      </w:tr>
      <w:tr w14:paraId="35A7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14:paraId="78A7C7ED">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240" w:type="dxa"/>
            <w:vMerge w:val="restart"/>
            <w:vAlign w:val="center"/>
          </w:tcPr>
          <w:p w14:paraId="3A8D12D2">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2.安全防护情况</w:t>
            </w:r>
          </w:p>
        </w:tc>
        <w:tc>
          <w:tcPr>
            <w:tcW w:w="1854" w:type="dxa"/>
            <w:vAlign w:val="center"/>
          </w:tcPr>
          <w:p w14:paraId="266D757A">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2.1网络安全防护设备</w:t>
            </w:r>
          </w:p>
        </w:tc>
        <w:tc>
          <w:tcPr>
            <w:tcW w:w="4959" w:type="dxa"/>
          </w:tcPr>
          <w:p w14:paraId="5F4ADD4C">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要求：提供设备相关资料。</w:t>
            </w:r>
          </w:p>
          <w:p w14:paraId="3E1621A1">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说明：配置网络安全防护设备</w:t>
            </w:r>
          </w:p>
        </w:tc>
      </w:tr>
      <w:tr w14:paraId="3913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14:paraId="14D918F5">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240" w:type="dxa"/>
            <w:vMerge w:val="continue"/>
            <w:vAlign w:val="center"/>
          </w:tcPr>
          <w:p w14:paraId="0EE4E994">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854" w:type="dxa"/>
            <w:vAlign w:val="center"/>
          </w:tcPr>
          <w:p w14:paraId="000AB093">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2.2安全防护策略</w:t>
            </w:r>
          </w:p>
        </w:tc>
        <w:tc>
          <w:tcPr>
            <w:tcW w:w="4959" w:type="dxa"/>
          </w:tcPr>
          <w:p w14:paraId="2823699B">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要求：提供安全防护策略的纸制文档</w:t>
            </w:r>
          </w:p>
          <w:p w14:paraId="235DE485">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说明：制定有效的安全防护策略。</w:t>
            </w:r>
          </w:p>
        </w:tc>
      </w:tr>
      <w:tr w14:paraId="551D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14:paraId="31803C49">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240" w:type="dxa"/>
            <w:vMerge w:val="continue"/>
            <w:vAlign w:val="center"/>
          </w:tcPr>
          <w:p w14:paraId="2479AEBA">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854" w:type="dxa"/>
            <w:vAlign w:val="center"/>
          </w:tcPr>
          <w:p w14:paraId="29586E97">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2.3漏洞扫描</w:t>
            </w:r>
          </w:p>
        </w:tc>
        <w:tc>
          <w:tcPr>
            <w:tcW w:w="4959" w:type="dxa"/>
          </w:tcPr>
          <w:p w14:paraId="7D94AE19">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要求：提供定期漏洞扫描及处置报告的纸制文档。</w:t>
            </w:r>
          </w:p>
          <w:p w14:paraId="38B6E2A4">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说明：定期进行网站系统漏洞扫描，及时处理漏洞。</w:t>
            </w:r>
          </w:p>
        </w:tc>
      </w:tr>
      <w:tr w14:paraId="5568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14:paraId="16E884FB">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240" w:type="dxa"/>
            <w:vMerge w:val="continue"/>
            <w:vAlign w:val="center"/>
          </w:tcPr>
          <w:p w14:paraId="1D1287C5">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854" w:type="dxa"/>
            <w:vAlign w:val="center"/>
          </w:tcPr>
          <w:p w14:paraId="1DCF23A8">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2.4技术检测</w:t>
            </w:r>
          </w:p>
        </w:tc>
        <w:tc>
          <w:tcPr>
            <w:tcW w:w="4959" w:type="dxa"/>
          </w:tcPr>
          <w:p w14:paraId="1A37C63E">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要求：每季度提供检测报告纸质文档。</w:t>
            </w:r>
          </w:p>
          <w:p w14:paraId="16C85967">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说明：定期开展渗透式、恶意代码等技术检测。</w:t>
            </w:r>
          </w:p>
        </w:tc>
      </w:tr>
      <w:tr w14:paraId="5E67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vMerge w:val="continue"/>
          </w:tcPr>
          <w:p w14:paraId="3168CDC4">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tc>
        <w:tc>
          <w:tcPr>
            <w:tcW w:w="1240" w:type="dxa"/>
            <w:vAlign w:val="center"/>
          </w:tcPr>
          <w:p w14:paraId="26E87DED">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3.安全事件</w:t>
            </w:r>
          </w:p>
        </w:tc>
        <w:tc>
          <w:tcPr>
            <w:tcW w:w="1854" w:type="dxa"/>
            <w:vAlign w:val="center"/>
          </w:tcPr>
          <w:p w14:paraId="541F6043">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3.1发生安全事件</w:t>
            </w:r>
          </w:p>
        </w:tc>
        <w:tc>
          <w:tcPr>
            <w:tcW w:w="4959" w:type="dxa"/>
          </w:tcPr>
          <w:p w14:paraId="7538765F">
            <w:pPr>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以第三方网站安全监测系统记录为依据，网站确保不发生较大及以上级别的网络信息安全事件。</w:t>
            </w:r>
          </w:p>
        </w:tc>
      </w:tr>
    </w:tbl>
    <w:p w14:paraId="5159E613">
      <w:pPr>
        <w:pStyle w:val="4"/>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3"/>
        <w:rPr>
          <w:rFonts w:hint="eastAsia" w:ascii="仿宋" w:hAnsi="仿宋" w:eastAsia="仿宋" w:cs="仿宋"/>
          <w:b/>
          <w:sz w:val="32"/>
          <w:szCs w:val="32"/>
          <w:lang w:val="en-US" w:eastAsia="zh-CN"/>
        </w:rPr>
      </w:pPr>
      <w:bookmarkStart w:id="9" w:name="_Toc12929"/>
      <w:r>
        <w:rPr>
          <w:rFonts w:hint="eastAsia" w:ascii="仿宋" w:hAnsi="仿宋" w:eastAsia="仿宋" w:cs="仿宋"/>
          <w:b/>
          <w:sz w:val="32"/>
          <w:szCs w:val="32"/>
          <w:lang w:val="en-US" w:eastAsia="zh-CN"/>
        </w:rPr>
        <w:t>（二）服务内容及事件安排</w:t>
      </w:r>
      <w:bookmarkEnd w:id="9"/>
    </w:p>
    <w:p w14:paraId="35FE5821">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供信息安全管理机构和信息安全规章制度及相关记录的纸制文档；提供网站安全突发事件应急演练记录的纸制文档；以季度为单位提供定期漏洞扫描及处置报告的纸质文档；以季度为单位提供网页防篡改措施的具体方法文档或防篡改措施系统软件截图；每季度提供检测报告纸质文档；以第三方网站安全监测系统记录为依据，确保网站不发生较大及以上级别的网络信息安全事件。</w:t>
      </w:r>
    </w:p>
    <w:p w14:paraId="5E9959CE">
      <w:pPr>
        <w:pStyle w:val="3"/>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黑体" w:hAnsi="黑体" w:eastAsia="黑体" w:cs="黑体"/>
          <w:b w:val="0"/>
          <w:bCs/>
          <w:kern w:val="2"/>
          <w:sz w:val="32"/>
          <w:szCs w:val="32"/>
          <w:lang w:val="en-US" w:eastAsia="zh-CN" w:bidi="ar-SA"/>
        </w:rPr>
      </w:pPr>
      <w:bookmarkStart w:id="10" w:name="_Toc31034"/>
      <w:r>
        <w:rPr>
          <w:rFonts w:hint="eastAsia" w:ascii="黑体" w:hAnsi="黑体" w:eastAsia="黑体" w:cs="黑体"/>
          <w:b w:val="0"/>
          <w:bCs/>
          <w:kern w:val="2"/>
          <w:sz w:val="32"/>
          <w:szCs w:val="32"/>
          <w:lang w:val="en-US" w:eastAsia="zh-CN" w:bidi="ar-SA"/>
        </w:rPr>
        <w:t>三、内容运维服务</w:t>
      </w:r>
      <w:bookmarkEnd w:id="10"/>
    </w:p>
    <w:p w14:paraId="07AB2589">
      <w:pPr>
        <w:pStyle w:val="3"/>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 w:hAnsi="楷体" w:eastAsia="楷体" w:cs="楷体"/>
          <w:b w:val="0"/>
          <w:bCs/>
          <w:sz w:val="32"/>
          <w:szCs w:val="32"/>
          <w:lang w:val="en-US" w:eastAsia="zh-CN"/>
        </w:rPr>
      </w:pPr>
      <w:bookmarkStart w:id="11" w:name="_Toc104"/>
      <w:r>
        <w:rPr>
          <w:rFonts w:hint="eastAsia" w:ascii="楷体" w:hAnsi="楷体" w:eastAsia="楷体" w:cs="楷体"/>
          <w:b w:val="0"/>
          <w:bCs/>
          <w:sz w:val="32"/>
          <w:szCs w:val="32"/>
          <w:lang w:val="en-US" w:eastAsia="zh-CN"/>
        </w:rPr>
        <w:t>（一）内容更新</w:t>
      </w:r>
      <w:bookmarkEnd w:id="11"/>
    </w:p>
    <w:p w14:paraId="3786225A">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含新闻更新、图片更新、活动更新、栏目更新等，网站日常内容有两个来源：一是毕节图书馆自有活动、新闻信息（该部分内容由官网内部审核通过后以邮件形式提交给服务商发布）；二是结合全省图书馆资源信息，以周为单位定期向官网的业内咨讯、图书推荐、文化精品、其他资源等栏目推送内容（服务商以邮件形式提供给官网审核通过后发布），确保高价值内容的时时更新，提高网站的访问量。</w:t>
      </w:r>
    </w:p>
    <w:p w14:paraId="78BAD2EE">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官网本地、本馆内时时新闻内容、图片活动等本地化信息内容由官网指定信息人员直接上传，服务商提供技术性支撑服务。</w:t>
      </w:r>
    </w:p>
    <w:p w14:paraId="066EA57E">
      <w:pPr>
        <w:pStyle w:val="4"/>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3"/>
        <w:rPr>
          <w:rFonts w:hint="eastAsia" w:ascii="仿宋" w:hAnsi="仿宋" w:eastAsia="仿宋" w:cs="仿宋"/>
          <w:b/>
          <w:sz w:val="32"/>
          <w:szCs w:val="32"/>
          <w:lang w:val="en-US" w:eastAsia="zh-CN"/>
        </w:rPr>
      </w:pPr>
      <w:bookmarkStart w:id="12" w:name="_Toc17920"/>
      <w:r>
        <w:rPr>
          <w:rFonts w:hint="eastAsia" w:ascii="楷体" w:hAnsi="楷体" w:eastAsia="楷体" w:cs="楷体"/>
          <w:b w:val="0"/>
          <w:bCs/>
          <w:kern w:val="2"/>
          <w:sz w:val="32"/>
          <w:szCs w:val="32"/>
          <w:lang w:val="en-US" w:eastAsia="zh-CN" w:bidi="ar-SA"/>
        </w:rPr>
        <w:t>（二</w:t>
      </w:r>
      <w:r>
        <w:rPr>
          <w:rFonts w:hint="eastAsia" w:ascii="楷体" w:hAnsi="楷体" w:eastAsia="楷体" w:cs="楷体"/>
          <w:b w:val="0"/>
          <w:bCs/>
          <w:kern w:val="2"/>
          <w:sz w:val="32"/>
          <w:szCs w:val="32"/>
          <w:lang w:val="en-US" w:eastAsia="zh-CN" w:bidi="ar-SA"/>
        </w:rPr>
        <w:t>）内容创新</w:t>
      </w:r>
      <w:bookmarkEnd w:id="12"/>
    </w:p>
    <w:p w14:paraId="3BA728D6">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合“贵州文化云”毕节地方特色板块已有资源内容，在毕节网站创新推出如“毕节非遗传承”、“毕节文化旅游资源推荐”、“毕节文化场馆索引”等栏目或数据查询入口，实现毕图网站与文化云大数据平台的融合。</w:t>
      </w:r>
    </w:p>
    <w:p w14:paraId="2F3296D6">
      <w:pPr>
        <w:pStyle w:val="3"/>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 w:hAnsi="楷体" w:eastAsia="楷体" w:cs="楷体"/>
          <w:b w:val="0"/>
          <w:bCs/>
          <w:sz w:val="32"/>
          <w:szCs w:val="32"/>
          <w:lang w:val="en-US" w:eastAsia="zh-CN"/>
        </w:rPr>
      </w:pPr>
      <w:bookmarkStart w:id="13" w:name="_Toc23613"/>
      <w:r>
        <w:rPr>
          <w:rFonts w:hint="eastAsia" w:ascii="楷体" w:hAnsi="楷体" w:eastAsia="楷体" w:cs="楷体"/>
          <w:b w:val="0"/>
          <w:bCs/>
          <w:sz w:val="32"/>
          <w:szCs w:val="32"/>
          <w:lang w:val="en-US" w:eastAsia="zh-CN"/>
        </w:rPr>
        <w:t>（三）在线客服</w:t>
      </w:r>
      <w:bookmarkEnd w:id="13"/>
    </w:p>
    <w:p w14:paraId="414C18D9">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设计更新在线客服问答内容，提供读者留言回复、疑难解答咨询服务。</w:t>
      </w:r>
    </w:p>
    <w:p w14:paraId="1EE9A83E">
      <w:pPr>
        <w:pStyle w:val="3"/>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 w:hAnsi="楷体" w:eastAsia="楷体" w:cs="楷体"/>
          <w:b w:val="0"/>
          <w:bCs/>
          <w:sz w:val="32"/>
          <w:szCs w:val="32"/>
          <w:lang w:val="en-US" w:eastAsia="zh-CN"/>
        </w:rPr>
      </w:pPr>
      <w:bookmarkStart w:id="14" w:name="_Toc15141"/>
      <w:r>
        <w:rPr>
          <w:rFonts w:hint="eastAsia" w:ascii="楷体" w:hAnsi="楷体" w:eastAsia="楷体" w:cs="楷体"/>
          <w:b w:val="0"/>
          <w:bCs/>
          <w:sz w:val="32"/>
          <w:szCs w:val="32"/>
          <w:lang w:val="en-US" w:eastAsia="zh-CN"/>
        </w:rPr>
        <w:t>（四）数据统计</w:t>
      </w:r>
      <w:bookmarkEnd w:id="14"/>
    </w:p>
    <w:p w14:paraId="11CE9F58">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每季度提供一份访问数据报告，含访问总人数、活动参与人数、访问人员组成、网站排名等数据分析服务。</w:t>
      </w:r>
    </w:p>
    <w:p w14:paraId="11E21940">
      <w:pPr>
        <w:pStyle w:val="3"/>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楷体" w:hAnsi="楷体" w:eastAsia="楷体" w:cs="楷体"/>
          <w:b w:val="0"/>
          <w:bCs/>
          <w:sz w:val="32"/>
          <w:szCs w:val="32"/>
          <w:lang w:val="en-US" w:eastAsia="zh-CN"/>
        </w:rPr>
      </w:pPr>
      <w:bookmarkStart w:id="15" w:name="_Toc30084"/>
      <w:r>
        <w:rPr>
          <w:rFonts w:hint="eastAsia" w:ascii="楷体" w:hAnsi="楷体" w:eastAsia="楷体" w:cs="楷体"/>
          <w:b w:val="0"/>
          <w:bCs/>
          <w:sz w:val="32"/>
          <w:szCs w:val="32"/>
          <w:lang w:val="en-US" w:eastAsia="zh-CN"/>
        </w:rPr>
        <w:t>（五）服务响应</w:t>
      </w:r>
      <w:bookmarkEnd w:id="15"/>
    </w:p>
    <w:p w14:paraId="166D1EE8">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故障响应时间：2小时之内响应，48小时内保证恢复业务运行，以上时间均以接到官网的服务请求时间开始计算。</w:t>
      </w:r>
    </w:p>
    <w:p w14:paraId="4A020601">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故障排除：对于经服务商了解判断，需现场解决的问题，服务商将在服务响应时间内派出人员到达现场进行维护。</w:t>
      </w:r>
    </w:p>
    <w:p w14:paraId="71ABF768">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运维期内因用户使用、管理不当等非产品系统原因造成的损坏和不可抗拒事件（自然灾害）造成的故障和损失由本单位承担。</w:t>
      </w:r>
    </w:p>
    <w:p w14:paraId="212EA01E">
      <w:pPr>
        <w:pageBreakBefore w:val="0"/>
        <w:widowControl w:val="0"/>
        <w:kinsoku/>
        <w:wordWrap/>
        <w:overflowPunct/>
        <w:topLinePunct w:val="0"/>
        <w:autoSpaceDE/>
        <w:autoSpaceDN/>
        <w:bidi w:val="0"/>
        <w:snapToGrid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4D6E7F-C72C-4255-BD5F-B019513A35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8F74C81-04B1-4798-9F3F-778D8A3EA9F1}"/>
  </w:font>
  <w:font w:name="仿宋">
    <w:panose1 w:val="02010609060101010101"/>
    <w:charset w:val="86"/>
    <w:family w:val="auto"/>
    <w:pitch w:val="default"/>
    <w:sig w:usb0="800002BF" w:usb1="38CF7CFA" w:usb2="00000016" w:usb3="00000000" w:csb0="00040001" w:csb1="00000000"/>
    <w:embedRegular r:id="rId3" w:fontKey="{43B26895-212A-4DC9-9E6B-D06BAE73E2D0}"/>
  </w:font>
  <w:font w:name="方正小标宋_GBK">
    <w:panose1 w:val="02000000000000000000"/>
    <w:charset w:val="86"/>
    <w:family w:val="auto"/>
    <w:pitch w:val="default"/>
    <w:sig w:usb0="A00002BF" w:usb1="38CF7CFA" w:usb2="00082016" w:usb3="00000000" w:csb0="00040001" w:csb1="00000000"/>
    <w:embedRegular r:id="rId4" w:fontKey="{FF1A6EC4-F34B-4A5D-B9F7-E709536BF45C}"/>
  </w:font>
  <w:font w:name="楷体">
    <w:panose1 w:val="02010609060101010101"/>
    <w:charset w:val="86"/>
    <w:family w:val="auto"/>
    <w:pitch w:val="default"/>
    <w:sig w:usb0="800002BF" w:usb1="38CF7CFA" w:usb2="00000016" w:usb3="00000000" w:csb0="00040001" w:csb1="00000000"/>
    <w:embedRegular r:id="rId5" w:fontKey="{E48AC550-7E76-43E2-AB35-A20E3BB8C1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D18D2"/>
    <w:rsid w:val="615D1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4">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5">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2025-12-03T07:47:00Z</dcterms:created>
  <dc:creator>WPS_1647348860</dc:creator>
  <cp:lastModifiedBy>WPS_1647348860</cp:lastModifiedBy>
  <dcterms:modified xsi:type="dcterms:W3CDTF">2025-12-03T08:50:03Z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6C9ADDA908E0402BB390065125B28BCB_11</vt:lpwstr>
  </property>
  <property fmtid="{D5CDD505-2E9C-101B-9397-08002B2CF9AE}" pid="4" name="KSOTemplateDocerSaveRecord">
    <vt:lpwstr>eyJoZGlkIjoiYjFiYjVlMTFiMDc5NmFiZDNjMTUzYzJmM2QwYjkxZjUiLCJ1c2VySWQiOiIxNDE1ODA0Nzk2In0=</vt:lpwstr>
  </property>
</Properties>
</file>